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C48" w:rsidRDefault="0037535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Hortobágy Község Önkormányzata Képviselő-testületének .../2024. (... ..</w:t>
      </w:r>
      <w:bookmarkStart w:id="0" w:name="_GoBack"/>
      <w:bookmarkEnd w:id="0"/>
      <w:r>
        <w:rPr>
          <w:b/>
          <w:bCs/>
        </w:rPr>
        <w:t>.) önkormányzati rendelete</w:t>
      </w:r>
    </w:p>
    <w:p w:rsidR="00704C48" w:rsidRDefault="0037535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Hortobágy Község nemzeti vagyonáról szóló 8/2021. (VI. 30.) önkormányzati rendelet módosításáról</w:t>
      </w:r>
    </w:p>
    <w:p w:rsidR="00704C48" w:rsidRDefault="00375354">
      <w:pPr>
        <w:pStyle w:val="Szvegtrzs"/>
        <w:spacing w:before="220" w:after="0" w:line="240" w:lineRule="auto"/>
        <w:jc w:val="both"/>
      </w:pPr>
      <w:r>
        <w:t xml:space="preserve">Hortobágy Község Önkormányzatának Képviselő-testülete </w:t>
      </w:r>
      <w:r>
        <w:t xml:space="preserve">Magyarország helyi önkormányzatairól szóló 2011. évi CLXXXIX. törvény 108/C. §-ban, 109. § (4) bekezdésében, 143. § (4) bekezdés i)-j) pontjában, a nemzeti vagyonról szóló 2011. évi CXCVI. törvény 11. § (16) bekezdésében, 13. § (1) bekezdésében, 18. § (1) </w:t>
      </w:r>
      <w:r>
        <w:t>bekezdésében, az államháztartásról szóló 2011. évi CXCV. törvény 97. § (2) bekezdésében kapott felhatalmazás alapján, az Alaptörvény 32. cikk (1) bekezdés e) pontjában meghatározott feladatkörében eljárva, a következőket rendeli el</w:t>
      </w:r>
    </w:p>
    <w:p w:rsidR="00704C48" w:rsidRDefault="0037535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704C48" w:rsidRDefault="00375354">
      <w:pPr>
        <w:pStyle w:val="Szvegtrzs"/>
        <w:spacing w:after="0" w:line="240" w:lineRule="auto"/>
        <w:jc w:val="both"/>
      </w:pPr>
      <w:r>
        <w:t>(1) A Hortobágy Köz</w:t>
      </w:r>
      <w:r>
        <w:t>ség nemzeti vagyonáról szóló 8/2021. (VI. 30.) önkormányzati rendelet 1. melléklete a 2. melléklet szerint módosul.</w:t>
      </w:r>
    </w:p>
    <w:p w:rsidR="00704C48" w:rsidRDefault="00375354">
      <w:pPr>
        <w:pStyle w:val="Szvegtrzs"/>
        <w:spacing w:before="240" w:after="0" w:line="240" w:lineRule="auto"/>
        <w:jc w:val="both"/>
      </w:pPr>
      <w:r>
        <w:t>(2) A Hortobágy Község nemzeti vagyonáról szóló 8/2021. (VI. 30.) önkormányzati rendelet 3. melléklete az 1. melléklet szerint módosul.</w:t>
      </w:r>
    </w:p>
    <w:p w:rsidR="00704C48" w:rsidRDefault="0037535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704C48" w:rsidRDefault="00375354">
      <w:pPr>
        <w:pStyle w:val="Szvegtrzs"/>
        <w:spacing w:after="0" w:line="240" w:lineRule="auto"/>
        <w:jc w:val="both"/>
      </w:pPr>
      <w:r>
        <w:t>Ez a rendelet 2024. április 1-jén lép hatályba, és 2024. április 2-án hatályát veszti.</w:t>
      </w:r>
    </w:p>
    <w:p w:rsidR="00375354" w:rsidRDefault="00375354">
      <w:pPr>
        <w:pStyle w:val="Szvegtrzs"/>
        <w:spacing w:after="0" w:line="240" w:lineRule="auto"/>
        <w:jc w:val="both"/>
      </w:pPr>
    </w:p>
    <w:p w:rsidR="00704C48" w:rsidRDefault="0037535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.../2024. (III. 28.) önkormányzati rendelethez</w:t>
      </w:r>
    </w:p>
    <w:p w:rsidR="00704C48" w:rsidRDefault="00375354">
      <w:pPr>
        <w:pStyle w:val="Szvegtrzs"/>
        <w:spacing w:before="220" w:after="0" w:line="240" w:lineRule="auto"/>
        <w:jc w:val="both"/>
      </w:pPr>
      <w:r>
        <w:t xml:space="preserve">1. A Hortobágy Község nemzeti vagyonáról szóló 8/2021. (VI. 30.) önkormányzati rendelet 3. mellékletében </w:t>
      </w:r>
      <w:r>
        <w:t>foglalt táblázat 14. sora helyébe a következő rendelkezés lép:</w:t>
      </w:r>
    </w:p>
    <w:p w:rsidR="00704C48" w:rsidRDefault="00375354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"/>
        <w:gridCol w:w="964"/>
        <w:gridCol w:w="1928"/>
        <w:gridCol w:w="1060"/>
        <w:gridCol w:w="964"/>
        <w:gridCol w:w="674"/>
        <w:gridCol w:w="3471"/>
      </w:tblGrid>
      <w:tr w:rsidR="00704C48">
        <w:trPr>
          <w:tblHeader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(Helyrajzi szám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Rendeltetés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Művelési ág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Terület m2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AK érték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Megjegyzés)</w:t>
            </w:r>
          </w:p>
        </w:tc>
      </w:tr>
      <w:tr w:rsidR="00704C4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</w:pP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</w:pPr>
          </w:p>
        </w:tc>
      </w:tr>
    </w:tbl>
    <w:p w:rsidR="00704C48" w:rsidRDefault="00375354">
      <w:pPr>
        <w:jc w:val="right"/>
      </w:pPr>
      <w:r>
        <w:t>”</w:t>
      </w:r>
    </w:p>
    <w:p w:rsidR="00704C48" w:rsidRDefault="00375354">
      <w:pPr>
        <w:pStyle w:val="Szvegtrzs"/>
        <w:spacing w:before="220" w:after="0" w:line="240" w:lineRule="auto"/>
        <w:jc w:val="both"/>
      </w:pPr>
      <w:r>
        <w:t xml:space="preserve">2. A Hortobágy Község nemzeti vagyonáról szóló 8/2021. (VI. 30.) önkormányzati rendelet 3. mellékletében </w:t>
      </w:r>
      <w:r>
        <w:t>foglalt táblázat 56. sora helyébe a következő rendelkezés lép:</w:t>
      </w:r>
    </w:p>
    <w:p w:rsidR="00704C48" w:rsidRDefault="00375354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"/>
        <w:gridCol w:w="964"/>
        <w:gridCol w:w="1928"/>
        <w:gridCol w:w="1060"/>
        <w:gridCol w:w="964"/>
        <w:gridCol w:w="674"/>
        <w:gridCol w:w="3471"/>
      </w:tblGrid>
      <w:tr w:rsidR="00704C48">
        <w:trPr>
          <w:tblHeader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(Helyrajzi szám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Rendeltetés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Művelési ág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Terület m2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AK érték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Megjegyzés)</w:t>
            </w:r>
          </w:p>
        </w:tc>
      </w:tr>
      <w:tr w:rsidR="00704C4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</w:pP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</w:pPr>
          </w:p>
        </w:tc>
      </w:tr>
    </w:tbl>
    <w:p w:rsidR="00704C48" w:rsidRDefault="00375354">
      <w:pPr>
        <w:jc w:val="right"/>
      </w:pPr>
      <w:r>
        <w:t>”</w:t>
      </w:r>
    </w:p>
    <w:p w:rsidR="00704C48" w:rsidRDefault="00375354">
      <w:pPr>
        <w:pStyle w:val="Szvegtrzs"/>
        <w:spacing w:before="220" w:after="0" w:line="240" w:lineRule="auto"/>
        <w:jc w:val="both"/>
      </w:pPr>
      <w:r>
        <w:t xml:space="preserve">3. A Hortobágy Község nemzeti vagyonáról szóló 8/2021. (VI. 30.) önkormányzati rendelet 3. mellékletében </w:t>
      </w:r>
      <w:r>
        <w:t>foglalt táblázat a következő 57–63. sorral egészül ki:</w:t>
      </w:r>
    </w:p>
    <w:p w:rsidR="00704C48" w:rsidRDefault="00375354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"/>
        <w:gridCol w:w="964"/>
        <w:gridCol w:w="1928"/>
        <w:gridCol w:w="1060"/>
        <w:gridCol w:w="964"/>
        <w:gridCol w:w="674"/>
        <w:gridCol w:w="3471"/>
      </w:tblGrid>
      <w:tr w:rsidR="00704C48">
        <w:trPr>
          <w:tblHeader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(Helyrajzi szám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Rendeltetés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Művelési ág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Terület m2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AK érték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Megjegyzés)</w:t>
            </w:r>
          </w:p>
        </w:tc>
      </w:tr>
      <w:tr w:rsidR="00704C4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1015/12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közforgalom elől elzárt magánút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kivett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538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jc w:val="both"/>
            </w:pPr>
          </w:p>
        </w:tc>
      </w:tr>
      <w:tr w:rsidR="00704C4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115/14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beépítetlen terület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kivett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185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jc w:val="both"/>
            </w:pPr>
          </w:p>
        </w:tc>
      </w:tr>
      <w:tr w:rsidR="00704C4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115/15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beépítetlen terület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kivett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201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jc w:val="both"/>
            </w:pPr>
          </w:p>
        </w:tc>
      </w:tr>
      <w:tr w:rsidR="00704C4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115/16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beépítetlen terület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kivett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905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jc w:val="both"/>
            </w:pPr>
          </w:p>
        </w:tc>
      </w:tr>
      <w:tr w:rsidR="00704C4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115/17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beépítetlen terület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kivett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3191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jc w:val="both"/>
            </w:pPr>
          </w:p>
        </w:tc>
      </w:tr>
      <w:tr w:rsidR="00704C4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115/18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beépítetlen terület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kivett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12849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jc w:val="both"/>
            </w:pPr>
          </w:p>
        </w:tc>
      </w:tr>
      <w:tr w:rsidR="00704C4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01079/3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gyep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kivett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20962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--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jc w:val="both"/>
            </w:pPr>
          </w:p>
        </w:tc>
      </w:tr>
    </w:tbl>
    <w:p w:rsidR="00704C48" w:rsidRDefault="00375354">
      <w:pPr>
        <w:jc w:val="right"/>
      </w:pPr>
      <w:r>
        <w:t>”</w:t>
      </w:r>
    </w:p>
    <w:p w:rsidR="00704C48" w:rsidRDefault="0037535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2. melléklet a .../2024. (III. 28.) </w:t>
      </w:r>
      <w:r>
        <w:rPr>
          <w:i/>
          <w:iCs/>
          <w:u w:val="single"/>
        </w:rPr>
        <w:t>önkormányzati rendelethez</w:t>
      </w:r>
    </w:p>
    <w:p w:rsidR="00704C48" w:rsidRDefault="00375354">
      <w:pPr>
        <w:pStyle w:val="Szvegtrzs"/>
        <w:spacing w:before="220" w:after="0" w:line="240" w:lineRule="auto"/>
        <w:jc w:val="both"/>
      </w:pPr>
      <w:r>
        <w:t>1. A Hortobágy Község nemzeti vagyonáról szóló 8/2021. (VI. 30.) önkormányzati rendelet 1. mellékletében foglalt táblázat 161. sora helyébe a következő rendelkezés lép:</w:t>
      </w:r>
    </w:p>
    <w:p w:rsidR="00704C48" w:rsidRDefault="00375354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"/>
        <w:gridCol w:w="876"/>
        <w:gridCol w:w="1460"/>
        <w:gridCol w:w="1071"/>
        <w:gridCol w:w="778"/>
        <w:gridCol w:w="682"/>
        <w:gridCol w:w="1947"/>
        <w:gridCol w:w="2435"/>
      </w:tblGrid>
      <w:tr w:rsidR="00704C48">
        <w:trPr>
          <w:tblHeader/>
        </w:trPr>
        <w:tc>
          <w:tcPr>
            <w:tcW w:w="96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04C48">
        <w:trPr>
          <w:tblHeader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</w:tr>
      <w:tr w:rsidR="00704C48">
        <w:trPr>
          <w:tblHeader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(Helyrajzi szám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Rendeltetés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Művelési ág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Terület</w:t>
            </w:r>
            <w:r>
              <w:rPr>
                <w:b/>
                <w:bCs/>
                <w:i/>
                <w:iCs/>
              </w:rPr>
              <w:t xml:space="preserve"> m2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AK érték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Nemzetgazdasági szempontból kiemelt jelentőségű nemzeti vagyon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Megjegyzés)</w:t>
            </w:r>
          </w:p>
        </w:tc>
      </w:tr>
      <w:tr w:rsidR="00704C48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</w:pPr>
          </w:p>
        </w:tc>
      </w:tr>
    </w:tbl>
    <w:p w:rsidR="00704C48" w:rsidRDefault="00375354">
      <w:pPr>
        <w:jc w:val="right"/>
      </w:pPr>
      <w:r>
        <w:t>”</w:t>
      </w:r>
    </w:p>
    <w:p w:rsidR="00704C48" w:rsidRDefault="00375354">
      <w:pPr>
        <w:pStyle w:val="Szvegtrzs"/>
        <w:spacing w:before="220" w:after="0" w:line="240" w:lineRule="auto"/>
        <w:jc w:val="both"/>
      </w:pPr>
      <w:r>
        <w:t>2. A Hortobágy Község nemzeti vagyonáról szóló 8/2021. (VI. 30.) önkormányzati rendelet 1. mellékletében foglalt táblázat a következő 197. sorral egészül</w:t>
      </w:r>
      <w:r>
        <w:t xml:space="preserve"> ki:</w:t>
      </w:r>
    </w:p>
    <w:p w:rsidR="00704C48" w:rsidRDefault="00375354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"/>
        <w:gridCol w:w="876"/>
        <w:gridCol w:w="1460"/>
        <w:gridCol w:w="1071"/>
        <w:gridCol w:w="778"/>
        <w:gridCol w:w="682"/>
        <w:gridCol w:w="1947"/>
        <w:gridCol w:w="2435"/>
      </w:tblGrid>
      <w:tr w:rsidR="00704C48">
        <w:trPr>
          <w:tblHeader/>
        </w:trPr>
        <w:tc>
          <w:tcPr>
            <w:tcW w:w="96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04C48">
        <w:trPr>
          <w:tblHeader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</w:tr>
      <w:tr w:rsidR="00704C48">
        <w:trPr>
          <w:tblHeader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(Helyrajzi szám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Rendeltetés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Művelési ág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Terület m2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AK érték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Nemzetgazdasági szempontból kiemelt jelentőségű nemzeti vagyon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Megjegyzés)</w:t>
            </w:r>
          </w:p>
        </w:tc>
      </w:tr>
      <w:tr w:rsidR="00704C48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115/11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közforgalom elől el nem zárt magánút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kivett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2368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375354">
            <w:pPr>
              <w:pStyle w:val="Szvegtrzs"/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8" w:rsidRDefault="00704C48">
            <w:pPr>
              <w:pStyle w:val="Szvegtrzs"/>
              <w:spacing w:after="0" w:line="240" w:lineRule="auto"/>
              <w:jc w:val="both"/>
            </w:pPr>
          </w:p>
        </w:tc>
      </w:tr>
    </w:tbl>
    <w:p w:rsidR="00704C48" w:rsidRDefault="00704C48" w:rsidP="00375354">
      <w:pPr>
        <w:pStyle w:val="Szvegtrzs"/>
        <w:spacing w:after="0"/>
      </w:pPr>
    </w:p>
    <w:sectPr w:rsidR="00704C48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5354">
      <w:r>
        <w:separator/>
      </w:r>
    </w:p>
  </w:endnote>
  <w:endnote w:type="continuationSeparator" w:id="0">
    <w:p w:rsidR="00000000" w:rsidRDefault="0037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48" w:rsidRDefault="0037535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75354">
      <w:r>
        <w:separator/>
      </w:r>
    </w:p>
  </w:footnote>
  <w:footnote w:type="continuationSeparator" w:id="0">
    <w:p w:rsidR="00000000" w:rsidRDefault="00375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54725"/>
    <w:multiLevelType w:val="multilevel"/>
    <w:tmpl w:val="1FAEA5E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48"/>
    <w:rsid w:val="00375354"/>
    <w:rsid w:val="0070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0C1B7-2553-418E-8F92-FE07DE51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dc:description/>
  <cp:lastModifiedBy>Kirendeltség vezető</cp:lastModifiedBy>
  <cp:revision>2</cp:revision>
  <dcterms:created xsi:type="dcterms:W3CDTF">2024-03-21T11:00:00Z</dcterms:created>
  <dcterms:modified xsi:type="dcterms:W3CDTF">2024-03-21T11:00:00Z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